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84" w:rsidRPr="003826B6" w:rsidRDefault="006E0484" w:rsidP="006E0484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6237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26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Додаток </w:t>
      </w:r>
    </w:p>
    <w:p w:rsidR="006E0484" w:rsidRPr="003826B6" w:rsidRDefault="006E0484" w:rsidP="006E0484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6237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26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 рішення сільської ради </w:t>
      </w:r>
    </w:p>
    <w:p w:rsidR="006E0484" w:rsidRPr="003826B6" w:rsidRDefault="006E0484" w:rsidP="006E0484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6237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26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від </w:t>
      </w:r>
      <w:r w:rsidR="005B7017" w:rsidRPr="005B7017">
        <w:rPr>
          <w:rFonts w:ascii="Times New Roman" w:eastAsia="Calibri" w:hAnsi="Times New Roman" w:cs="Times New Roman"/>
          <w:sz w:val="28"/>
          <w:szCs w:val="28"/>
          <w:lang w:eastAsia="ar-SA"/>
        </w:rPr>
        <w:t>25 червня  2021 року</w:t>
      </w:r>
      <w:bookmarkStart w:id="0" w:name="_GoBack"/>
      <w:bookmarkEnd w:id="0"/>
    </w:p>
    <w:p w:rsidR="00937A62" w:rsidRDefault="006E0484" w:rsidP="006E048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</w:t>
      </w:r>
      <w:r w:rsidRPr="006E048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№</w:t>
      </w:r>
      <w:r w:rsidR="005B7017">
        <w:rPr>
          <w:rFonts w:ascii="Times New Roman" w:eastAsia="Times New Roman" w:hAnsi="Times New Roman"/>
          <w:sz w:val="28"/>
          <w:szCs w:val="24"/>
          <w:lang w:eastAsia="ru-RU"/>
        </w:rPr>
        <w:t>531 - 10/</w:t>
      </w:r>
      <w:r w:rsidR="005B7017"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7A62" w:rsidRP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  <w:r w:rsidRPr="00937A62">
        <w:rPr>
          <w:rFonts w:ascii="Times New Roman" w:hAnsi="Times New Roman" w:cs="Times New Roman"/>
          <w:sz w:val="52"/>
          <w:szCs w:val="52"/>
        </w:rPr>
        <w:t>ПРОГРАМА</w:t>
      </w:r>
    </w:p>
    <w:p w:rsidR="00937A62" w:rsidRP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  <w:r w:rsidRPr="00937A62">
        <w:rPr>
          <w:rFonts w:ascii="Times New Roman" w:hAnsi="Times New Roman" w:cs="Times New Roman"/>
          <w:sz w:val="52"/>
          <w:szCs w:val="52"/>
        </w:rPr>
        <w:t>оздоровлення та відпочинку  дітей</w:t>
      </w:r>
    </w:p>
    <w:p w:rsidR="00937A62" w:rsidRP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  <w:r w:rsidRPr="00937A62">
        <w:rPr>
          <w:rFonts w:ascii="Times New Roman" w:hAnsi="Times New Roman" w:cs="Times New Roman"/>
          <w:sz w:val="52"/>
          <w:szCs w:val="52"/>
        </w:rPr>
        <w:t>Могилівської територіальної громади</w:t>
      </w:r>
    </w:p>
    <w:p w:rsid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2021-2027 роки</w:t>
      </w:r>
    </w:p>
    <w:p w:rsid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7A62" w:rsidRPr="00937A62" w:rsidRDefault="00937A62" w:rsidP="00937A6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7A62" w:rsidRPr="00937A62" w:rsidRDefault="00937A62" w:rsidP="00937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>С. Могилів</w:t>
      </w:r>
    </w:p>
    <w:p w:rsidR="00AC0463" w:rsidRDefault="00937A62" w:rsidP="00937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lastRenderedPageBreak/>
        <w:t>2021 рік</w:t>
      </w:r>
    </w:p>
    <w:p w:rsidR="00937A62" w:rsidRDefault="00937A62" w:rsidP="00937A6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ПАСПОРТ ПРОГРАМИ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8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367"/>
        <w:gridCol w:w="3688"/>
      </w:tblGrid>
      <w:tr w:rsidR="00937A62" w:rsidRPr="00937A62" w:rsidTr="00AC52DA"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   1</w:t>
            </w:r>
          </w:p>
        </w:tc>
        <w:tc>
          <w:tcPr>
            <w:tcW w:w="5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Ініціатор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розроблення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Програми</w:t>
            </w:r>
            <w:proofErr w:type="spellEnd"/>
          </w:p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5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Могилівська сільська рада Царичанського району Дніпропетровської області</w:t>
            </w:r>
          </w:p>
        </w:tc>
      </w:tr>
      <w:tr w:rsidR="00937A62" w:rsidRPr="00937A62" w:rsidTr="00AC52DA"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Розробник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Відділ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освіти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культури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молод</w:t>
            </w:r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і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та спорту   </w:t>
            </w:r>
          </w:p>
        </w:tc>
      </w:tr>
      <w:tr w:rsidR="00937A62" w:rsidRPr="00937A62" w:rsidTr="00AC52DA"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Учасники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 П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рограми</w:t>
            </w:r>
            <w:proofErr w:type="spellEnd"/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Виконком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Могилівської               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сільської ради,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відділ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бухгалтерського обліку та звітності, відділ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освіти , культури молоді і спорту, сектор соціального захисту населення, служба у справах дітей</w:t>
            </w:r>
          </w:p>
        </w:tc>
      </w:tr>
      <w:tr w:rsidR="00937A62" w:rsidRPr="00937A62" w:rsidTr="00AC52DA"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Термін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реалізації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Протягом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2021-2027 рок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  <w:proofErr w:type="spellEnd"/>
            <w:proofErr w:type="gramEnd"/>
          </w:p>
        </w:tc>
      </w:tr>
      <w:tr w:rsidR="00937A62" w:rsidRPr="00937A62" w:rsidTr="00AC52DA"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Загальний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обсяг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фінансових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ресурсів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необхідних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для</w:t>
            </w:r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реалізації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програми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усього</w:t>
            </w:r>
            <w:proofErr w:type="spellEnd"/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1640.0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тис</w:t>
            </w:r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.г</w:t>
            </w:r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рн</w:t>
            </w:r>
            <w:proofErr w:type="spellEnd"/>
          </w:p>
        </w:tc>
      </w:tr>
      <w:tr w:rsidR="00937A62" w:rsidRPr="00937A62" w:rsidTr="00AC52DA">
        <w:trPr>
          <w:trHeight w:val="60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                          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Основні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джерела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фінансування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                 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Місцевий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бюджет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та інші джерела, не заборонені чинним законодавством</w:t>
            </w:r>
          </w:p>
        </w:tc>
      </w:tr>
    </w:tbl>
    <w:p w:rsidR="00937A62" w:rsidRDefault="00937A62" w:rsidP="00937A6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A62" w:rsidRPr="00937A62" w:rsidRDefault="00937A62" w:rsidP="00937A62">
      <w:pPr>
        <w:rPr>
          <w:rFonts w:ascii="Times New Roman" w:hAnsi="Times New Roman" w:cs="Times New Roman"/>
          <w:sz w:val="28"/>
          <w:szCs w:val="28"/>
        </w:rPr>
      </w:pPr>
    </w:p>
    <w:p w:rsidR="00937A62" w:rsidRPr="00937A62" w:rsidRDefault="00937A62" w:rsidP="00937A62">
      <w:pPr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37A62" w:rsidRPr="00937A62" w:rsidRDefault="00937A62" w:rsidP="00937A62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62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 xml:space="preserve">   Необхідність затвердження  програми оздоровлення та відпочинку дітей  Могилівської сільської ради на 2021-2027 роки (далі – Програма) зумовлена необхідністю реалізації сучасної державної політики в галузі оздоровлення дітей, спрямованої на забезпечення сприятливих умов для всебічного розвитку дітей та молоді.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 xml:space="preserve">   Упродовж останніх років за медичними показниками зберігається тенденція до погіршення стану здоров’я дітей, що зумовлено негативними соціально-економічними, екологічними та іншими факторами.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 xml:space="preserve">  Поліпшення стану здоров’я дітей, відновлення їх життєвих сил, запобігання бездоглядності, створення умов для продовження виховного процесу та розвитку творчих здібностей забезпечується шляхом організації оздоровлення та відпочинку дітей, зокрема в період літніх канікул.</w:t>
      </w:r>
    </w:p>
    <w:p w:rsidR="00937A62" w:rsidRP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 xml:space="preserve"> Основні поняття, які використовуються: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>відпочинок –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>оздоровлення – 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>послуги з оздоровлення – комплекс спеціальних заходів соціального, виховного,   медичного,   гігієнічного,   спортивного  характеру,  що  надаються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>відпочинкові послуги –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lastRenderedPageBreak/>
        <w:t>оздоровча зміна – період перебування дитини в дитячому закладі оздоровлення та відпочинку не менше 21 дня, протягом якого дитина отримує послуги з оздоровлення та відпочинку;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>відпочинкова зміна – період перебування дитини в дитячому закладі оздоровлення та відпочинку не менше 14 днів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A62" w:rsidRPr="00937A62" w:rsidRDefault="00937A62" w:rsidP="00937A62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b/>
          <w:sz w:val="28"/>
          <w:szCs w:val="28"/>
        </w:rPr>
        <w:t>2.</w:t>
      </w:r>
      <w:r w:rsidRPr="00937A62">
        <w:rPr>
          <w:rFonts w:ascii="Times New Roman" w:hAnsi="Times New Roman" w:cs="Times New Roman"/>
          <w:sz w:val="28"/>
          <w:szCs w:val="28"/>
        </w:rPr>
        <w:t xml:space="preserve"> </w:t>
      </w:r>
      <w:r w:rsidRPr="00937A62">
        <w:rPr>
          <w:rFonts w:ascii="Times New Roman" w:hAnsi="Times New Roman" w:cs="Times New Roman"/>
          <w:b/>
          <w:sz w:val="28"/>
          <w:szCs w:val="28"/>
        </w:rPr>
        <w:t>Мета і основні завдання Програми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 xml:space="preserve">   Головною метою виконання Програми є забезпечення повноцінного оздоровлення та відпочинку дітей, створення належних умов для освітньої, культурно-виховної, фізкультурно-оздоровчої та спортивної роботи, якісного медичного обслуговування й харчування, забезпечення державних гарантій щодо доступності та якості відповідних послуг, а також  максимального стимулювання  діяльності  дитячих закладів оздоровлення та відпочинку.</w:t>
      </w:r>
    </w:p>
    <w:p w:rsidR="00937A62" w:rsidRP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>Основні завдання  Програми: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>- збільшення кількості дітей, охоплених різноманітними організаційними формами відпочинку та оздоровлення;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 xml:space="preserve">  - консолідація зусиль та співробітництво органів виконавчої влади, профспілкових організацій, підприємств, установ стосовно питань організації оздоровлення та відпочинку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62">
        <w:rPr>
          <w:rFonts w:ascii="Times New Roman" w:hAnsi="Times New Roman" w:cs="Times New Roman"/>
          <w:sz w:val="28"/>
          <w:szCs w:val="28"/>
        </w:rPr>
        <w:t>дітей;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 xml:space="preserve"> - оптимізація фінансового та організаційного механізму щодо оздоровлення та відпочинку дітей та учнівської молоді протягом літнього періоду  2021 -2027 років;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 xml:space="preserve">- створення сприятливих умов для реалізації соціально-педагогічних, </w:t>
      </w:r>
      <w:proofErr w:type="spellStart"/>
      <w:r w:rsidRPr="00937A62">
        <w:rPr>
          <w:rFonts w:ascii="Times New Roman" w:hAnsi="Times New Roman" w:cs="Times New Roman"/>
          <w:sz w:val="28"/>
          <w:szCs w:val="28"/>
        </w:rPr>
        <w:t>медико-оздоровчих</w:t>
      </w:r>
      <w:proofErr w:type="spellEnd"/>
      <w:r w:rsidRPr="00937A62">
        <w:rPr>
          <w:rFonts w:ascii="Times New Roman" w:hAnsi="Times New Roman" w:cs="Times New Roman"/>
          <w:sz w:val="28"/>
          <w:szCs w:val="28"/>
        </w:rPr>
        <w:t xml:space="preserve"> інноваційних проектів відпочинку та оздоровлення дітей;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>- забезпечення доступності та якості оздоровчих послуг для різних категорій дитячого населення;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>- інформаційне та рекламне забезпечення оздоровлення та відпочинку дітей протягом літнього періоду 2021-2027 років.</w:t>
      </w:r>
    </w:p>
    <w:p w:rsid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37A62" w:rsidRDefault="00937A62" w:rsidP="00937A6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937A62" w:rsidRPr="00937A62" w:rsidRDefault="00937A62" w:rsidP="00937A6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</w:pPr>
      <w:r w:rsidRPr="00937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lastRenderedPageBreak/>
        <w:t>3</w:t>
      </w:r>
      <w:r w:rsidRPr="00937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. </w:t>
      </w:r>
      <w:proofErr w:type="spellStart"/>
      <w:r w:rsidRPr="00937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Фінансове</w:t>
      </w:r>
      <w:proofErr w:type="spellEnd"/>
      <w:r w:rsidRPr="0093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proofErr w:type="spellStart"/>
      <w:r w:rsidRPr="00937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забезпечення</w:t>
      </w:r>
      <w:proofErr w:type="spellEnd"/>
      <w:r w:rsidRPr="0093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proofErr w:type="spellStart"/>
      <w:r w:rsidRPr="00937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Програми</w:t>
      </w:r>
      <w:proofErr w:type="spellEnd"/>
    </w:p>
    <w:p w:rsidR="00937A62" w:rsidRPr="00937A62" w:rsidRDefault="00937A62" w:rsidP="00937A62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937A62" w:rsidRPr="00937A62" w:rsidRDefault="00937A62" w:rsidP="00937A62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</w:pPr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  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Фінансування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Програми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здійснюється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за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рахунок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коштів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місцевого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бюджету,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виходячи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з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його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реальних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можливост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ей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тако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незаборонених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чиним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законодавством</w:t>
      </w:r>
      <w:proofErr w:type="spellEnd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 </w:t>
      </w:r>
      <w:proofErr w:type="spellStart"/>
      <w:r w:rsidRPr="00937A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України</w:t>
      </w:r>
      <w:proofErr w:type="spellEnd"/>
    </w:p>
    <w:p w:rsidR="00937A62" w:rsidRPr="00937A62" w:rsidRDefault="00937A62" w:rsidP="00937A6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</w:pPr>
    </w:p>
    <w:p w:rsidR="00937A62" w:rsidRPr="00937A62" w:rsidRDefault="00937A62" w:rsidP="00937A6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</w:pPr>
    </w:p>
    <w:p w:rsidR="00937A62" w:rsidRPr="00937A62" w:rsidRDefault="00937A62" w:rsidP="00937A6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tbl>
      <w:tblPr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003"/>
        <w:gridCol w:w="3837"/>
      </w:tblGrid>
      <w:tr w:rsidR="00937A62" w:rsidRPr="00937A62" w:rsidTr="00AC52DA">
        <w:trPr>
          <w:trHeight w:val="660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</w:t>
            </w:r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ік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Орієнтовний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обсяг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виділених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кошті</w:t>
            </w:r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</w:t>
            </w:r>
            <w:proofErr w:type="spellEnd"/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на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оздоровлення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тис</w:t>
            </w:r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</w:t>
            </w:r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г</w:t>
            </w:r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рн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Примітки</w:t>
            </w:r>
          </w:p>
        </w:tc>
      </w:tr>
      <w:tr w:rsidR="00937A62" w:rsidRPr="00937A62" w:rsidTr="00AC52DA">
        <w:trPr>
          <w:trHeight w:val="34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210,0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</w:tr>
      <w:tr w:rsidR="00937A62" w:rsidRPr="00937A62" w:rsidTr="00AC52DA">
        <w:trPr>
          <w:trHeight w:val="34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210,0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</w:tr>
      <w:tr w:rsidR="00937A62" w:rsidRPr="00937A62" w:rsidTr="00AC52DA">
        <w:trPr>
          <w:trHeight w:val="36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210</w:t>
            </w: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,0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</w:tr>
      <w:tr w:rsidR="00937A62" w:rsidRPr="00937A62" w:rsidTr="00AC52DA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210,0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937A62" w:rsidRPr="00937A62" w:rsidTr="00AC52DA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2025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210,0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937A62" w:rsidRPr="00937A62" w:rsidTr="00AC52DA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         2026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290,0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937A62" w:rsidRPr="00937A62" w:rsidTr="00AC52DA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         2027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300,0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7A62" w:rsidRPr="00937A62" w:rsidRDefault="00937A62" w:rsidP="009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937A62" w:rsidRPr="00937A62" w:rsidRDefault="00937A62" w:rsidP="00937A62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62">
        <w:rPr>
          <w:rFonts w:ascii="Times New Roman" w:hAnsi="Times New Roman" w:cs="Times New Roman"/>
          <w:b/>
          <w:sz w:val="28"/>
          <w:szCs w:val="28"/>
        </w:rPr>
        <w:t>4. Очікувані результати виконання Програми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 xml:space="preserve">    У результаті реалізації заходів Програми очікується збільшення кількості дітей, учнівської молоді, яким надаються послуги з оздоровлення та відпочинку.</w:t>
      </w:r>
    </w:p>
    <w:p w:rsid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62">
        <w:rPr>
          <w:rFonts w:ascii="Times New Roman" w:hAnsi="Times New Roman" w:cs="Times New Roman"/>
          <w:sz w:val="28"/>
          <w:szCs w:val="28"/>
        </w:rPr>
        <w:t xml:space="preserve">   Виконання Програми забезпечить щорічне якісне надання послуг з оздоровлення та відпочинку дітям, які потребують особливої соціальної уваги та підтримки, а саме: дітям-сиротам та дітям, позбавленим батьківського піклування, дітям з особливими освітніми потребами, дітям, потерпілим від наслідків Чорнобильської катастрофи, дітям з малозабезпечених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62">
        <w:rPr>
          <w:rFonts w:ascii="Times New Roman" w:hAnsi="Times New Roman" w:cs="Times New Roman"/>
          <w:sz w:val="28"/>
          <w:szCs w:val="28"/>
        </w:rPr>
        <w:t>сімей, дітям, які постраждали внаслідок стихійного лиха, техногенних аварій, катастроф, дітям з багатодітних сімей, дітям учасників АТО, а також тим, батьки яких загинули від нещасних випадків на виробництві або під час виконання службових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37A62">
        <w:rPr>
          <w:rFonts w:ascii="Times New Roman" w:hAnsi="Times New Roman" w:cs="Times New Roman"/>
          <w:sz w:val="28"/>
          <w:szCs w:val="28"/>
        </w:rPr>
        <w:t xml:space="preserve">бов’язків, талановитим та обдарованим дітям, бездоглядним та безпритульним дітям, </w:t>
      </w:r>
      <w:proofErr w:type="spellStart"/>
      <w:r w:rsidRPr="00937A6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937A62">
        <w:rPr>
          <w:rFonts w:ascii="Times New Roman" w:hAnsi="Times New Roman" w:cs="Times New Roman"/>
          <w:sz w:val="28"/>
          <w:szCs w:val="28"/>
        </w:rPr>
        <w:t xml:space="preserve"> працівників агропромислового комплексу та соціальної сфери села, учням початкових класів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7A62">
        <w:rPr>
          <w:rFonts w:ascii="Times New Roman" w:hAnsi="Times New Roman" w:cs="Times New Roman"/>
          <w:sz w:val="28"/>
          <w:szCs w:val="28"/>
        </w:rPr>
        <w:t>Також очікується поліпшення якості та доступності послуг з оздоровлення та відпочинку.</w:t>
      </w:r>
    </w:p>
    <w:p w:rsid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  <w:sectPr w:rsidR="00937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PlainTable4"/>
        <w:tblpPr w:leftFromText="54" w:rightFromText="54" w:topFromText="300" w:bottomFromText="264" w:vertAnchor="text" w:horzAnchor="margin" w:tblpY="-858"/>
        <w:tblW w:w="15770" w:type="dxa"/>
        <w:tblLayout w:type="fixed"/>
        <w:tblLook w:val="04A0" w:firstRow="1" w:lastRow="0" w:firstColumn="1" w:lastColumn="0" w:noHBand="0" w:noVBand="1"/>
      </w:tblPr>
      <w:tblGrid>
        <w:gridCol w:w="728"/>
        <w:gridCol w:w="481"/>
        <w:gridCol w:w="5809"/>
        <w:gridCol w:w="240"/>
        <w:gridCol w:w="42"/>
        <w:gridCol w:w="241"/>
        <w:gridCol w:w="3244"/>
        <w:gridCol w:w="272"/>
        <w:gridCol w:w="57"/>
        <w:gridCol w:w="1825"/>
        <w:gridCol w:w="543"/>
        <w:gridCol w:w="241"/>
        <w:gridCol w:w="482"/>
        <w:gridCol w:w="236"/>
        <w:gridCol w:w="43"/>
        <w:gridCol w:w="240"/>
        <w:gridCol w:w="44"/>
        <w:gridCol w:w="239"/>
        <w:gridCol w:w="541"/>
        <w:gridCol w:w="222"/>
      </w:tblGrid>
      <w:tr w:rsidR="00937A62" w:rsidRPr="00937A62" w:rsidTr="00AC52D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2" w:type="dxa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8" w:type="dxa"/>
            <w:gridSpan w:val="19"/>
            <w:hideMark/>
          </w:tcPr>
          <w:p w:rsidR="00937A62" w:rsidRPr="00937A62" w:rsidRDefault="00937A62" w:rsidP="00937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937A6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ab/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5.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Основні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заходи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щодо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реалізації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Програми</w:t>
            </w:r>
            <w:proofErr w:type="spellEnd"/>
          </w:p>
        </w:tc>
      </w:tr>
      <w:tr w:rsidR="00937A62" w:rsidRPr="00937A62" w:rsidTr="00AC5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="00937A62" w:rsidRPr="00937A62" w:rsidRDefault="00937A62" w:rsidP="00937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2" w:type="dxa"/>
            <w:gridSpan w:val="4"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gridSpan w:val="2"/>
          </w:tcPr>
          <w:tbl>
            <w:tblPr>
              <w:tblStyle w:val="PlainTable4"/>
              <w:tblpPr w:leftFromText="54" w:rightFromText="54" w:topFromText="300" w:bottomFromText="264" w:vertAnchor="text" w:horzAnchor="margin" w:tblpY="-858"/>
              <w:tblW w:w="15770" w:type="dxa"/>
              <w:tblLayout w:type="fixed"/>
              <w:tblLook w:val="04A0" w:firstRow="1" w:lastRow="0" w:firstColumn="1" w:lastColumn="0" w:noHBand="0" w:noVBand="1"/>
            </w:tblPr>
            <w:tblGrid>
              <w:gridCol w:w="15770"/>
            </w:tblGrid>
            <w:tr w:rsidR="00937A62" w:rsidRPr="00937A62" w:rsidTr="00AC52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5" w:type="dxa"/>
                </w:tcPr>
                <w:p w:rsidR="00937A62" w:rsidRPr="00937A62" w:rsidRDefault="00937A62" w:rsidP="00937A62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37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ru-RU" w:eastAsia="uk-UA"/>
                    </w:rPr>
                    <w:t xml:space="preserve">  20</w:t>
                  </w:r>
                  <w:r w:rsidRPr="00937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uk-UA"/>
                    </w:rPr>
                    <w:t xml:space="preserve">21          </w:t>
                  </w:r>
                  <w:r w:rsidRPr="00937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2022      2023    </w:t>
                  </w:r>
                </w:p>
              </w:tc>
            </w:tr>
          </w:tbl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" w:type="dxa"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20</w:t>
            </w: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24           2025    </w:t>
            </w:r>
          </w:p>
        </w:tc>
        <w:tc>
          <w:tcPr>
            <w:tcW w:w="723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2026 </w:t>
            </w:r>
          </w:p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3" w:type="dxa"/>
            <w:gridSpan w:val="6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2027</w:t>
            </w:r>
          </w:p>
        </w:tc>
      </w:tr>
      <w:tr w:rsidR="00937A62" w:rsidRPr="00937A62" w:rsidTr="00AC52DA">
        <w:trPr>
          <w:gridAfter w:val="1"/>
          <w:wAfter w:w="222" w:type="dxa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8" w:type="dxa"/>
            <w:gridSpan w:val="19"/>
            <w:hideMark/>
          </w:tcPr>
          <w:p w:rsidR="00937A62" w:rsidRPr="00937A62" w:rsidRDefault="00937A62" w:rsidP="00937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Забезпечення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доступності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та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якості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послуг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з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оздоровлення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та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відпочинку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</w:tr>
      <w:tr w:rsidR="00937A62" w:rsidRPr="00937A62" w:rsidTr="00AC5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57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Організація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відпочинку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дітей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шкільного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віку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в закладах з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денним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перебуванням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створених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на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базі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закладів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загальної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середньої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освіти</w:t>
            </w:r>
            <w:proofErr w:type="spellEnd"/>
          </w:p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3485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125,0         125,0                 125.0               </w:t>
            </w:r>
          </w:p>
        </w:tc>
        <w:tc>
          <w:tcPr>
            <w:tcW w:w="272" w:type="dxa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125,0           125,0</w:t>
            </w:r>
          </w:p>
        </w:tc>
        <w:tc>
          <w:tcPr>
            <w:tcW w:w="1286" w:type="dxa"/>
            <w:gridSpan w:val="6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185,0</w:t>
            </w:r>
          </w:p>
        </w:tc>
        <w:tc>
          <w:tcPr>
            <w:tcW w:w="780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190,0</w:t>
            </w:r>
          </w:p>
        </w:tc>
      </w:tr>
      <w:tr w:rsidR="00937A62" w:rsidRPr="00937A62" w:rsidTr="00AC52DA">
        <w:trPr>
          <w:gridAfter w:val="1"/>
          <w:wAfter w:w="222" w:type="dxa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2</w:t>
            </w:r>
          </w:p>
        </w:tc>
        <w:tc>
          <w:tcPr>
            <w:tcW w:w="657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Організація оздоровчого періоду в закладах дошкільної освіти</w:t>
            </w:r>
          </w:p>
        </w:tc>
        <w:tc>
          <w:tcPr>
            <w:tcW w:w="3485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35,0            35,0                 35.0         </w:t>
            </w:r>
          </w:p>
        </w:tc>
        <w:tc>
          <w:tcPr>
            <w:tcW w:w="272" w:type="dxa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   35.0 </w:t>
            </w:r>
          </w:p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   35,0</w:t>
            </w:r>
          </w:p>
        </w:tc>
        <w:tc>
          <w:tcPr>
            <w:tcW w:w="1286" w:type="dxa"/>
            <w:gridSpan w:val="6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35,0</w:t>
            </w:r>
          </w:p>
        </w:tc>
        <w:tc>
          <w:tcPr>
            <w:tcW w:w="780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40,0</w:t>
            </w:r>
          </w:p>
        </w:tc>
      </w:tr>
      <w:tr w:rsidR="00937A62" w:rsidRPr="00937A62" w:rsidTr="00AC5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657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Придбання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путівок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 для дітей </w:t>
            </w:r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</w:t>
            </w:r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ільгових категорій </w:t>
            </w:r>
          </w:p>
        </w:tc>
        <w:tc>
          <w:tcPr>
            <w:tcW w:w="3485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20.0            20.0                20.0</w:t>
            </w:r>
          </w:p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" w:type="dxa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20.0                   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20,0</w:t>
            </w:r>
          </w:p>
        </w:tc>
        <w:tc>
          <w:tcPr>
            <w:tcW w:w="1286" w:type="dxa"/>
            <w:gridSpan w:val="6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30,0</w:t>
            </w:r>
          </w:p>
        </w:tc>
        <w:tc>
          <w:tcPr>
            <w:tcW w:w="780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30,0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</w:tr>
      <w:tr w:rsidR="00937A62" w:rsidRPr="00937A62" w:rsidTr="00937A62">
        <w:trPr>
          <w:gridAfter w:val="1"/>
          <w:wAfter w:w="222" w:type="dxa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4</w:t>
            </w:r>
          </w:p>
        </w:tc>
        <w:tc>
          <w:tcPr>
            <w:tcW w:w="657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Організація відпочинку дітей в інших регіонах України в оздоровчих закладах(путівки та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доїзд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3485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30.0            30.0                  30.0</w:t>
            </w:r>
          </w:p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" w:type="dxa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30.0                 30,0</w:t>
            </w:r>
          </w:p>
        </w:tc>
        <w:tc>
          <w:tcPr>
            <w:tcW w:w="100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40,0</w:t>
            </w:r>
          </w:p>
        </w:tc>
        <w:tc>
          <w:tcPr>
            <w:tcW w:w="1064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40,0</w:t>
            </w:r>
          </w:p>
        </w:tc>
      </w:tr>
      <w:tr w:rsidR="00937A62" w:rsidRPr="00937A62" w:rsidTr="00AC5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0" w:type="dxa"/>
            <w:gridSpan w:val="5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gridSpan w:val="2"/>
          </w:tcPr>
          <w:p w:rsidR="00937A62" w:rsidRPr="00937A62" w:rsidRDefault="00937A62" w:rsidP="00937A62">
            <w:pPr>
              <w:tabs>
                <w:tab w:val="left" w:pos="275"/>
                <w:tab w:val="center" w:pos="1587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210.0       210.0                 210.0</w:t>
            </w:r>
          </w:p>
        </w:tc>
        <w:tc>
          <w:tcPr>
            <w:tcW w:w="272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210.0              210.0                                        </w:t>
            </w:r>
          </w:p>
        </w:tc>
        <w:tc>
          <w:tcPr>
            <w:tcW w:w="100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290,0</w:t>
            </w:r>
          </w:p>
        </w:tc>
        <w:tc>
          <w:tcPr>
            <w:tcW w:w="1064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300,0</w:t>
            </w:r>
          </w:p>
        </w:tc>
      </w:tr>
      <w:tr w:rsidR="00937A62" w:rsidRPr="00937A62" w:rsidTr="00AC52DA">
        <w:trPr>
          <w:gridAfter w:val="1"/>
          <w:wAfter w:w="222" w:type="dxa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0" w:type="dxa"/>
            <w:gridSpan w:val="5"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gridSpan w:val="2"/>
          </w:tcPr>
          <w:p w:rsidR="00937A62" w:rsidRPr="00937A62" w:rsidRDefault="00937A62" w:rsidP="00937A62">
            <w:pPr>
              <w:tabs>
                <w:tab w:val="left" w:pos="275"/>
                <w:tab w:val="center" w:pos="1587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" w:type="dxa"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25" w:type="dxa"/>
            <w:gridSpan w:val="3"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002" w:type="dxa"/>
            <w:gridSpan w:val="4"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064" w:type="dxa"/>
            <w:gridSpan w:val="4"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937A62" w:rsidRPr="00937A62" w:rsidTr="00AC5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8" w:type="dxa"/>
            <w:gridSpan w:val="19"/>
            <w:hideMark/>
          </w:tcPr>
          <w:p w:rsidR="00937A62" w:rsidRPr="00937A62" w:rsidRDefault="00937A62" w:rsidP="00937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lastRenderedPageBreak/>
              <w:t xml:space="preserve">ІІ.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Створення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безпечних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та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комфортних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умов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перебування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дітей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у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дитячих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закладах</w:t>
            </w:r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оздоровлення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                </w:t>
            </w:r>
          </w:p>
          <w:p w:rsidR="00937A62" w:rsidRPr="00937A62" w:rsidRDefault="00937A62" w:rsidP="00937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                 та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відпочинку</w:t>
            </w:r>
            <w:proofErr w:type="spellEnd"/>
          </w:p>
          <w:p w:rsidR="00937A62" w:rsidRPr="00937A62" w:rsidRDefault="00937A62" w:rsidP="00937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37A62" w:rsidRPr="00937A62" w:rsidTr="00AC52DA">
        <w:trPr>
          <w:gridAfter w:val="1"/>
          <w:wAfter w:w="222" w:type="dxa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</w:t>
            </w:r>
          </w:p>
        </w:tc>
        <w:tc>
          <w:tcPr>
            <w:tcW w:w="657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Недопущенн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я 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відкриття та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експлуатації 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закладі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 відпочинку,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ств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орених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на базі закладів загальної середньої освіти, без актів прийому</w:t>
            </w:r>
          </w:p>
        </w:tc>
        <w:tc>
          <w:tcPr>
            <w:tcW w:w="3485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Щороку</w:t>
            </w:r>
            <w:proofErr w:type="spellEnd"/>
          </w:p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</w:p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4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37A62" w:rsidRPr="00937A62" w:rsidTr="00AC5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2</w:t>
            </w:r>
          </w:p>
        </w:tc>
        <w:tc>
          <w:tcPr>
            <w:tcW w:w="657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Здійснення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заходів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щодо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забезпечення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пожежної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безпеки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у</w:t>
            </w:r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закладах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відпочинку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створених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на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базі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закладів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загальної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середньої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освіти</w:t>
            </w:r>
            <w:proofErr w:type="spellEnd"/>
          </w:p>
        </w:tc>
        <w:tc>
          <w:tcPr>
            <w:tcW w:w="3485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Щороку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у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встановлені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приписами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          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терміни</w:t>
            </w:r>
            <w:proofErr w:type="spellEnd"/>
          </w:p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4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37A62" w:rsidRPr="00937A62" w:rsidTr="00AC52DA">
        <w:trPr>
          <w:gridAfter w:val="1"/>
          <w:wAfter w:w="222" w:type="dxa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3</w:t>
            </w:r>
          </w:p>
        </w:tc>
        <w:tc>
          <w:tcPr>
            <w:tcW w:w="657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Забезпечення безперебійного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електро-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водопостачання у дитячі заклади відпочинку, створені на базі закладів загальної середньої освіти</w:t>
            </w:r>
          </w:p>
        </w:tc>
        <w:tc>
          <w:tcPr>
            <w:tcW w:w="3485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Щороку</w:t>
            </w:r>
          </w:p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2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4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37A62" w:rsidRPr="00937A62" w:rsidTr="00AC5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7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Організація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 в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л</w:t>
            </w:r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ітній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період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 контролю за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дотриманням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санітарних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норм та 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якістю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харчування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дітей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в  закладах</w:t>
            </w: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відпочинку, створених на базі закладів загальної середньої освіти</w:t>
            </w:r>
          </w:p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3485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Щороку</w:t>
            </w:r>
            <w:proofErr w:type="spellEnd"/>
          </w:p>
        </w:tc>
        <w:tc>
          <w:tcPr>
            <w:tcW w:w="272" w:type="dxa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4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37A62" w:rsidRPr="00937A62" w:rsidTr="00AC52DA">
        <w:trPr>
          <w:gridAfter w:val="1"/>
          <w:wAfter w:w="222" w:type="dxa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5</w:t>
            </w:r>
          </w:p>
        </w:tc>
        <w:tc>
          <w:tcPr>
            <w:tcW w:w="6290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Формування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бази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даних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дітей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  для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оздоровлення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 </w:t>
            </w:r>
          </w:p>
        </w:tc>
        <w:tc>
          <w:tcPr>
            <w:tcW w:w="3767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    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Щороку</w:t>
            </w:r>
            <w:proofErr w:type="spellEnd"/>
          </w:p>
        </w:tc>
        <w:tc>
          <w:tcPr>
            <w:tcW w:w="272" w:type="dxa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4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37A62" w:rsidRPr="00937A62" w:rsidTr="00AC5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7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Забезпечення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змістовного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дозвілля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проведення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культурно-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масових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та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фізкультурно-спортивних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заходів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gram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</w:t>
            </w:r>
            <w:proofErr w:type="gram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закладах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відпочинку</w:t>
            </w:r>
            <w:proofErr w:type="spellEnd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 створених на базі закладів загальної середньої освіти</w:t>
            </w:r>
          </w:p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5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Щороку</w:t>
            </w:r>
            <w:proofErr w:type="spellEnd"/>
          </w:p>
        </w:tc>
        <w:tc>
          <w:tcPr>
            <w:tcW w:w="272" w:type="dxa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25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2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4" w:type="dxa"/>
            <w:gridSpan w:val="4"/>
            <w:hideMark/>
          </w:tcPr>
          <w:p w:rsidR="00937A62" w:rsidRPr="00937A62" w:rsidRDefault="00937A62" w:rsidP="00937A6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37A62" w:rsidRPr="00937A62" w:rsidTr="00AC52D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hideMark/>
          </w:tcPr>
          <w:p w:rsidR="00937A62" w:rsidRPr="00937A62" w:rsidRDefault="00937A62" w:rsidP="00937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1" w:type="dxa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49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73" w:type="dxa"/>
            <w:gridSpan w:val="3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5" w:type="dxa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4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8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63" w:type="dxa"/>
            <w:gridSpan w:val="2"/>
            <w:hideMark/>
          </w:tcPr>
          <w:p w:rsidR="00937A62" w:rsidRPr="00937A62" w:rsidRDefault="00937A62" w:rsidP="00937A6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7A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37A62" w:rsidRPr="00937A62" w:rsidRDefault="00937A62" w:rsidP="00937A62">
      <w:pPr>
        <w:shd w:val="clear" w:color="auto" w:fill="FBFBFB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37A6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937A62" w:rsidRPr="00937A62" w:rsidRDefault="00937A62" w:rsidP="00937A62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37A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Секретар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                                                                              </w:t>
      </w:r>
      <w:r w:rsidRPr="00937A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В.І.Невтриніс</w:t>
      </w:r>
    </w:p>
    <w:p w:rsidR="00937A62" w:rsidRPr="00937A62" w:rsidRDefault="00937A62" w:rsidP="00937A62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37A6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937A62" w:rsidRPr="00937A62" w:rsidRDefault="00937A62" w:rsidP="00937A62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37A6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937A62" w:rsidRPr="00937A62" w:rsidRDefault="00937A62" w:rsidP="00937A62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37A6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937A62" w:rsidRPr="00937A62" w:rsidRDefault="00937A62" w:rsidP="00937A6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37A62" w:rsidRPr="00937A62" w:rsidSect="00937A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2"/>
    <w:rsid w:val="000E2662"/>
    <w:rsid w:val="005B7017"/>
    <w:rsid w:val="006E0484"/>
    <w:rsid w:val="00937A62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62"/>
    <w:pPr>
      <w:spacing w:after="0" w:line="240" w:lineRule="auto"/>
    </w:pPr>
    <w:rPr>
      <w:lang w:val="uk-UA"/>
    </w:rPr>
  </w:style>
  <w:style w:type="table" w:customStyle="1" w:styleId="PlainTable4">
    <w:name w:val="Plain Table 4"/>
    <w:basedOn w:val="a1"/>
    <w:uiPriority w:val="44"/>
    <w:rsid w:val="00937A62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62"/>
    <w:pPr>
      <w:spacing w:after="0" w:line="240" w:lineRule="auto"/>
    </w:pPr>
    <w:rPr>
      <w:lang w:val="uk-UA"/>
    </w:rPr>
  </w:style>
  <w:style w:type="table" w:customStyle="1" w:styleId="PlainTable4">
    <w:name w:val="Plain Table 4"/>
    <w:basedOn w:val="a1"/>
    <w:uiPriority w:val="44"/>
    <w:rsid w:val="00937A62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2021-06-18T11:48:00Z</cp:lastPrinted>
  <dcterms:created xsi:type="dcterms:W3CDTF">2021-06-16T11:54:00Z</dcterms:created>
  <dcterms:modified xsi:type="dcterms:W3CDTF">2021-07-01T12:13:00Z</dcterms:modified>
</cp:coreProperties>
</file>